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2022 19 vom 18. Juli 2023</w:t>
      </w:r>
    </w:p>
    <w:p>
      <w:r>
        <w:t>SZ Gerichte, 2023-07-18, DE</w:t>
      </w:r>
    </w:p>
    <w:p>
      <w:r>
        <w:rPr>
          <w:b/>
        </w:rPr>
        <w:t xml:space="preserve">Quelle: </w:t>
      </w:r>
      <w:r>
        <w:t>https://mcp.opencaselaw.ch/entscheid/sz_gerichte_STK 2022 19</w:t>
      </w:r>
    </w:p>
    <w:p>
      <w:r>
        <w:t>FR: SZ_GERICHTE STK 2022 19 du 18 juillet 2023</w:t>
      </w:r>
    </w:p>
    <w:p>
      <w:r>
        <w:t>IT: SZ_GERICHTE STK 2022 19 del 18 luglio 2023</w:t>
      </w:r>
    </w:p>
    <w:p>
      <w:pPr>
        <w:pStyle w:val="Heading2"/>
      </w:pPr>
      <w:r>
        <w:t>Regeste</w:t>
      </w:r>
    </w:p>
    <w:p>
      <w:r>
        <w:t>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 amtlich verteidigt durch Rechtsanwalt B.________,</w:t>
      </w:r>
    </w:p>
    <w:p>
      <w:r>
        <w:rPr>
          <w:b/>
        </w:rPr>
        <w:t>E. 2</w:t>
      </w:r>
    </w:p>
    <w:p>
      <w:r>
        <w:t>C.________ , amtlich verteidigt durch Rechtsanwalt D.________, Beschuldigte, Berufungsführer und Anschlussberufungsgegner, gegen Staatsanwaltschaft, 1. Abteilung, SSB, Einsiedlerstrasse 55, 8836 Bennau, Anklagebehörde, Berufungsgegnerin und Anschlussberufungsführerin, \n \n \n \n vertreten durch Staatsanwalt E.________, \n \n \n \n \n \n \n \n \n \n \n \n betreffend \n Angriff \n \n \n \n (Berufungen und Anschlussberufungen gegen die Urteile des Bezirksgerichts March vom 3. Februar 2022, SGO 21 3 und SGO 21 4);- \n \n \n hat die Strafkammer, \n \n nachdem sich ergeben: \n A. Mit separaten Anklagen vom 2. Juni 2021 wirft die Staatsanwaltschaft den beiden Beschuldigten am Bezirksgericht March folgenden Sachverhalt als Angriff im Sinne 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